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E0" w:rsidRDefault="00192049" w:rsidP="00192049">
      <w:pPr>
        <w:spacing w:after="0" w:line="360" w:lineRule="auto"/>
        <w:jc w:val="center"/>
        <w:rPr>
          <w:rFonts w:ascii="Times New Roman" w:hAnsi="Times New Roman" w:cs="Times New Roman"/>
          <w:b/>
          <w:sz w:val="26"/>
          <w:szCs w:val="24"/>
        </w:rPr>
      </w:pPr>
      <w:r w:rsidRPr="00D16629">
        <w:rPr>
          <w:rFonts w:ascii="Times New Roman" w:hAnsi="Times New Roman" w:cs="Times New Roman"/>
          <w:b/>
          <w:sz w:val="26"/>
          <w:szCs w:val="24"/>
        </w:rPr>
        <w:t>PHƯƠNG ÁN PHÁT HÀNH CỔ PHIẾ</w:t>
      </w:r>
      <w:r w:rsidR="007D424D">
        <w:rPr>
          <w:rFonts w:ascii="Times New Roman" w:hAnsi="Times New Roman" w:cs="Times New Roman"/>
          <w:b/>
          <w:sz w:val="26"/>
          <w:szCs w:val="24"/>
        </w:rPr>
        <w:t>U</w:t>
      </w:r>
      <w:r w:rsidR="004604E0">
        <w:rPr>
          <w:rFonts w:ascii="Times New Roman" w:hAnsi="Times New Roman" w:cs="Times New Roman"/>
          <w:b/>
          <w:sz w:val="26"/>
          <w:szCs w:val="24"/>
        </w:rPr>
        <w:t xml:space="preserve"> </w:t>
      </w:r>
    </w:p>
    <w:p w:rsidR="00192049" w:rsidRDefault="00192049" w:rsidP="00192049">
      <w:pPr>
        <w:spacing w:after="0" w:line="360" w:lineRule="auto"/>
        <w:jc w:val="center"/>
        <w:rPr>
          <w:rFonts w:ascii="Times New Roman" w:hAnsi="Times New Roman" w:cs="Times New Roman"/>
          <w:b/>
          <w:sz w:val="26"/>
          <w:szCs w:val="24"/>
        </w:rPr>
      </w:pPr>
      <w:r w:rsidRPr="00D16629">
        <w:rPr>
          <w:rFonts w:ascii="Times New Roman" w:hAnsi="Times New Roman" w:cs="Times New Roman"/>
          <w:b/>
          <w:sz w:val="26"/>
          <w:szCs w:val="24"/>
        </w:rPr>
        <w:t>CÔNG TY CỔ PHẦN SOFTECH</w:t>
      </w:r>
    </w:p>
    <w:p w:rsidR="00FC6650" w:rsidRDefault="00FC6650" w:rsidP="00FC6650">
      <w:pPr>
        <w:spacing w:after="0" w:line="360" w:lineRule="auto"/>
        <w:jc w:val="center"/>
        <w:rPr>
          <w:rFonts w:ascii="Times New Roman" w:hAnsi="Times New Roman" w:cs="Times New Roman"/>
          <w:b/>
          <w:sz w:val="26"/>
          <w:szCs w:val="24"/>
        </w:rPr>
      </w:pPr>
      <w:r>
        <w:rPr>
          <w:rFonts w:ascii="Times New Roman" w:hAnsi="Times New Roman" w:cs="Times New Roman"/>
          <w:b/>
          <w:sz w:val="26"/>
          <w:szCs w:val="24"/>
        </w:rPr>
        <w:t>HÌNH THỨC: CHÀO BÁN CHO CÁC CỔ ĐÔNG HIỆN HỮU</w:t>
      </w:r>
    </w:p>
    <w:p w:rsidR="00030105" w:rsidRPr="00D16629" w:rsidRDefault="00030105" w:rsidP="00192049">
      <w:pPr>
        <w:spacing w:after="0" w:line="360" w:lineRule="auto"/>
        <w:jc w:val="center"/>
        <w:rPr>
          <w:rFonts w:ascii="Times New Roman" w:hAnsi="Times New Roman" w:cs="Times New Roman"/>
          <w:b/>
          <w:sz w:val="26"/>
          <w:szCs w:val="24"/>
        </w:rPr>
      </w:pPr>
    </w:p>
    <w:p w:rsidR="00192049" w:rsidRPr="007D424D" w:rsidRDefault="00192049" w:rsidP="00192049">
      <w:pPr>
        <w:spacing w:after="0" w:line="360" w:lineRule="auto"/>
        <w:jc w:val="center"/>
        <w:rPr>
          <w:rFonts w:ascii="Times New Roman" w:hAnsi="Times New Roman" w:cs="Times New Roman"/>
          <w:b/>
          <w:sz w:val="2"/>
          <w:szCs w:val="24"/>
        </w:rPr>
      </w:pPr>
    </w:p>
    <w:tbl>
      <w:tblPr>
        <w:tblStyle w:val="TableGrid"/>
        <w:tblW w:w="10173" w:type="dxa"/>
        <w:tblLook w:val="04A0"/>
      </w:tblPr>
      <w:tblGrid>
        <w:gridCol w:w="4219"/>
        <w:gridCol w:w="5954"/>
      </w:tblGrid>
      <w:tr w:rsidR="00DA1563" w:rsidRPr="00D16629" w:rsidTr="00CA1534">
        <w:trPr>
          <w:trHeight w:val="448"/>
        </w:trPr>
        <w:tc>
          <w:tcPr>
            <w:tcW w:w="4219" w:type="dxa"/>
            <w:vAlign w:val="center"/>
          </w:tcPr>
          <w:p w:rsidR="00DA1563" w:rsidRPr="00D16629" w:rsidRDefault="00DA1563" w:rsidP="007D424D">
            <w:pPr>
              <w:pStyle w:val="ListParagraph"/>
              <w:numPr>
                <w:ilvl w:val="0"/>
                <w:numId w:val="2"/>
              </w:numPr>
              <w:spacing w:line="360" w:lineRule="auto"/>
              <w:ind w:left="342" w:hanging="342"/>
              <w:rPr>
                <w:b/>
              </w:rPr>
            </w:pPr>
            <w:r w:rsidRPr="00D16629">
              <w:rPr>
                <w:b/>
              </w:rPr>
              <w:t>Tên chứng khoán</w:t>
            </w:r>
          </w:p>
        </w:tc>
        <w:tc>
          <w:tcPr>
            <w:tcW w:w="5954" w:type="dxa"/>
            <w:vAlign w:val="center"/>
          </w:tcPr>
          <w:p w:rsidR="00DA1563" w:rsidRPr="00D16629" w:rsidRDefault="00DA1563" w:rsidP="007D424D">
            <w:pPr>
              <w:pStyle w:val="ListParagraph"/>
              <w:spacing w:line="360" w:lineRule="auto"/>
              <w:ind w:left="0"/>
              <w:contextualSpacing w:val="0"/>
              <w:rPr>
                <w:lang w:val="nl-NL"/>
              </w:rPr>
            </w:pPr>
            <w:r w:rsidRPr="00D16629">
              <w:t xml:space="preserve"> Công ty cổ phần </w:t>
            </w:r>
            <w:r w:rsidR="007D424D">
              <w:t>Softech</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rPr>
                <w:b/>
              </w:rPr>
            </w:pPr>
            <w:r w:rsidRPr="00D16629">
              <w:rPr>
                <w:b/>
              </w:rPr>
              <w:t>Mã chứng khoán</w:t>
            </w:r>
          </w:p>
        </w:tc>
        <w:tc>
          <w:tcPr>
            <w:tcW w:w="5954" w:type="dxa"/>
            <w:vAlign w:val="center"/>
          </w:tcPr>
          <w:p w:rsidR="00DA1563" w:rsidRPr="00D16629" w:rsidRDefault="00DA1563" w:rsidP="00D16629">
            <w:pPr>
              <w:widowControl w:val="0"/>
              <w:spacing w:line="360" w:lineRule="auto"/>
              <w:rPr>
                <w:rFonts w:ascii="Times New Roman" w:hAnsi="Times New Roman" w:cs="Times New Roman"/>
                <w:sz w:val="24"/>
                <w:szCs w:val="24"/>
                <w:lang w:val="sv-SE"/>
              </w:rPr>
            </w:pPr>
            <w:r w:rsidRPr="00D16629">
              <w:rPr>
                <w:rFonts w:ascii="Times New Roman" w:hAnsi="Times New Roman" w:cs="Times New Roman"/>
                <w:sz w:val="24"/>
                <w:szCs w:val="24"/>
              </w:rPr>
              <w:t>SFT</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Loại chứng khoán phát hành</w:t>
            </w:r>
          </w:p>
        </w:tc>
        <w:tc>
          <w:tcPr>
            <w:tcW w:w="5954" w:type="dxa"/>
            <w:vAlign w:val="center"/>
          </w:tcPr>
          <w:p w:rsidR="00DA1563" w:rsidRPr="00D16629" w:rsidRDefault="00DA1563" w:rsidP="007D424D">
            <w:pPr>
              <w:pStyle w:val="ListParagraph"/>
              <w:spacing w:line="360" w:lineRule="auto"/>
              <w:ind w:left="0"/>
              <w:contextualSpacing w:val="0"/>
              <w:rPr>
                <w:b/>
              </w:rPr>
            </w:pPr>
            <w:r w:rsidRPr="00D16629">
              <w:t>Cổ phần phổ thông</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Mệnh giá</w:t>
            </w:r>
          </w:p>
        </w:tc>
        <w:tc>
          <w:tcPr>
            <w:tcW w:w="5954" w:type="dxa"/>
            <w:vAlign w:val="center"/>
          </w:tcPr>
          <w:p w:rsidR="00DA1563" w:rsidRPr="00D16629" w:rsidRDefault="00DA1563" w:rsidP="00D16629">
            <w:pPr>
              <w:widowControl w:val="0"/>
              <w:spacing w:line="360" w:lineRule="auto"/>
              <w:rPr>
                <w:rFonts w:ascii="Times New Roman" w:hAnsi="Times New Roman" w:cs="Times New Roman"/>
                <w:sz w:val="24"/>
                <w:szCs w:val="24"/>
                <w:lang w:val="sv-SE"/>
              </w:rPr>
            </w:pPr>
            <w:r w:rsidRPr="00D16629">
              <w:rPr>
                <w:rFonts w:ascii="Times New Roman" w:hAnsi="Times New Roman" w:cs="Times New Roman"/>
                <w:sz w:val="24"/>
                <w:szCs w:val="24"/>
              </w:rPr>
              <w:t>10.000 đồng/cổ phần</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Số lượng cổ phiếu đang lưu hành</w:t>
            </w:r>
          </w:p>
        </w:tc>
        <w:tc>
          <w:tcPr>
            <w:tcW w:w="5954" w:type="dxa"/>
            <w:vAlign w:val="center"/>
          </w:tcPr>
          <w:p w:rsidR="00DA1563" w:rsidRPr="00D16629" w:rsidRDefault="00DA1563" w:rsidP="007D424D">
            <w:pPr>
              <w:pStyle w:val="ListParagraph"/>
              <w:spacing w:line="360" w:lineRule="auto"/>
              <w:ind w:left="0"/>
              <w:contextualSpacing w:val="0"/>
            </w:pPr>
            <w:r w:rsidRPr="00D16629">
              <w:t>3.000.000 cổ phiếu</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Số lượng cổ phiếu quỹ</w:t>
            </w:r>
          </w:p>
        </w:tc>
        <w:tc>
          <w:tcPr>
            <w:tcW w:w="5954" w:type="dxa"/>
            <w:vAlign w:val="center"/>
          </w:tcPr>
          <w:p w:rsidR="00DA1563" w:rsidRPr="00D16629" w:rsidRDefault="00DA1563" w:rsidP="007D424D">
            <w:pPr>
              <w:pStyle w:val="ListParagraph"/>
              <w:spacing w:line="360" w:lineRule="auto"/>
              <w:ind w:left="0"/>
              <w:contextualSpacing w:val="0"/>
              <w:rPr>
                <w:b/>
              </w:rPr>
            </w:pPr>
            <w:r w:rsidRPr="00D16629">
              <w:t>0 cổ phiếu</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Đối tượng phát hành</w:t>
            </w:r>
          </w:p>
        </w:tc>
        <w:tc>
          <w:tcPr>
            <w:tcW w:w="5954" w:type="dxa"/>
          </w:tcPr>
          <w:p w:rsidR="00DA1563" w:rsidRPr="00D16629" w:rsidRDefault="00DA1563" w:rsidP="00DA18A8">
            <w:pPr>
              <w:spacing w:line="360" w:lineRule="auto"/>
              <w:rPr>
                <w:rFonts w:ascii="Times New Roman" w:hAnsi="Times New Roman" w:cs="Times New Roman"/>
                <w:sz w:val="24"/>
                <w:szCs w:val="24"/>
              </w:rPr>
            </w:pPr>
            <w:r w:rsidRPr="00D16629">
              <w:rPr>
                <w:rFonts w:ascii="Times New Roman" w:hAnsi="Times New Roman" w:cs="Times New Roman"/>
                <w:sz w:val="24"/>
                <w:szCs w:val="24"/>
              </w:rPr>
              <w:t xml:space="preserve">Cổ đông hiện hữu có tên trong danh sách cổ đông do </w:t>
            </w:r>
            <w:r w:rsidR="00DA18A8">
              <w:rPr>
                <w:rFonts w:ascii="Times New Roman" w:hAnsi="Times New Roman" w:cs="Times New Roman"/>
                <w:sz w:val="24"/>
                <w:szCs w:val="24"/>
              </w:rPr>
              <w:t>Công ty CP Softech</w:t>
            </w:r>
            <w:r w:rsidRPr="00D16629">
              <w:rPr>
                <w:rFonts w:ascii="Times New Roman" w:hAnsi="Times New Roman" w:cs="Times New Roman"/>
                <w:sz w:val="24"/>
                <w:szCs w:val="24"/>
              </w:rPr>
              <w:t xml:space="preserve"> chốt tại ngày đăng ký cuối cùng thực hiện quyền (“Ngày Đăng Ký Cuối Cùng”).</w:t>
            </w:r>
          </w:p>
        </w:tc>
      </w:tr>
      <w:tr w:rsidR="00DA1563" w:rsidRPr="00D16629" w:rsidTr="00CA1534">
        <w:trPr>
          <w:trHeight w:val="448"/>
        </w:trPr>
        <w:tc>
          <w:tcPr>
            <w:tcW w:w="4219" w:type="dxa"/>
            <w:vAlign w:val="center"/>
          </w:tcPr>
          <w:p w:rsidR="00DA1563" w:rsidRPr="00D16629" w:rsidRDefault="00DA1563" w:rsidP="007D424D">
            <w:pPr>
              <w:pStyle w:val="ListParagraph"/>
              <w:numPr>
                <w:ilvl w:val="0"/>
                <w:numId w:val="2"/>
              </w:numPr>
              <w:spacing w:line="360" w:lineRule="auto"/>
              <w:ind w:left="342" w:hanging="342"/>
              <w:contextualSpacing w:val="0"/>
              <w:rPr>
                <w:b/>
              </w:rPr>
            </w:pPr>
            <w:r w:rsidRPr="00D16629">
              <w:rPr>
                <w:b/>
              </w:rPr>
              <w:t>Tỷ lệ phát hành</w:t>
            </w:r>
          </w:p>
        </w:tc>
        <w:tc>
          <w:tcPr>
            <w:tcW w:w="5954" w:type="dxa"/>
          </w:tcPr>
          <w:p w:rsidR="00DA1563" w:rsidRPr="00D16629" w:rsidRDefault="00DA1563" w:rsidP="00D16629">
            <w:pPr>
              <w:pStyle w:val="ListParagraph"/>
              <w:spacing w:line="360" w:lineRule="auto"/>
              <w:ind w:left="0"/>
              <w:contextualSpacing w:val="0"/>
              <w:rPr>
                <w:lang w:val="sv-SE"/>
              </w:rPr>
            </w:pPr>
            <w:r w:rsidRPr="00D16629">
              <w:t>1:1 (cổ đông sở hữu 01 cổ phần tại ngày đăng ký cuối cùng sẽ được 01 quyền và cứ 01quyền sẽ được mua thêm 01 cổ phiếu).</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Số lượng cổ phiếu dự kiến phát hành thêm</w:t>
            </w:r>
          </w:p>
        </w:tc>
        <w:tc>
          <w:tcPr>
            <w:tcW w:w="5954" w:type="dxa"/>
            <w:vAlign w:val="center"/>
          </w:tcPr>
          <w:p w:rsidR="00DA1563" w:rsidRPr="00D16629" w:rsidRDefault="00DA1563" w:rsidP="007D424D">
            <w:pPr>
              <w:pStyle w:val="ListParagraph"/>
              <w:spacing w:line="360" w:lineRule="auto"/>
              <w:ind w:left="0"/>
              <w:contextualSpacing w:val="0"/>
              <w:rPr>
                <w:lang w:val="sv-SE"/>
              </w:rPr>
            </w:pPr>
            <w:r w:rsidRPr="00D16629">
              <w:t>3.000.000 cổ phiếu</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Tổng giá trị dự kiến phát hành (theo mệnh giá)</w:t>
            </w:r>
          </w:p>
        </w:tc>
        <w:tc>
          <w:tcPr>
            <w:tcW w:w="5954" w:type="dxa"/>
            <w:vAlign w:val="center"/>
          </w:tcPr>
          <w:p w:rsidR="00DA1563" w:rsidRPr="00D16629" w:rsidRDefault="00DA1563" w:rsidP="007D424D">
            <w:pPr>
              <w:pStyle w:val="ListParagraph"/>
              <w:spacing w:line="360" w:lineRule="auto"/>
              <w:ind w:left="0"/>
              <w:contextualSpacing w:val="0"/>
            </w:pPr>
            <w:r w:rsidRPr="00D16629">
              <w:t>30.000.000.000 đồng (Bằng chữ: B</w:t>
            </w:r>
            <w:r w:rsidR="00DA18A8">
              <w:t>a</w:t>
            </w:r>
            <w:r w:rsidRPr="00D16629">
              <w:t xml:space="preserve"> mươ</w:t>
            </w:r>
            <w:bookmarkStart w:id="0" w:name="_GoBack"/>
            <w:bookmarkEnd w:id="0"/>
            <w:r w:rsidRPr="00D16629">
              <w:t>i tỷ đồng.)</w:t>
            </w:r>
          </w:p>
        </w:tc>
      </w:tr>
      <w:tr w:rsidR="00DA1563" w:rsidRPr="00D16629" w:rsidTr="00CA1534">
        <w:trPr>
          <w:trHeight w:val="448"/>
        </w:trPr>
        <w:tc>
          <w:tcPr>
            <w:tcW w:w="4219" w:type="dxa"/>
            <w:vAlign w:val="center"/>
          </w:tcPr>
          <w:p w:rsidR="00DA1563" w:rsidRPr="00D16629" w:rsidRDefault="00DA1563" w:rsidP="001113F0">
            <w:pPr>
              <w:pStyle w:val="ListParagraph"/>
              <w:numPr>
                <w:ilvl w:val="0"/>
                <w:numId w:val="2"/>
              </w:numPr>
              <w:spacing w:line="360" w:lineRule="auto"/>
              <w:ind w:left="342" w:hanging="342"/>
              <w:contextualSpacing w:val="0"/>
              <w:rPr>
                <w:b/>
              </w:rPr>
            </w:pPr>
            <w:r w:rsidRPr="00D16629">
              <w:rPr>
                <w:b/>
              </w:rPr>
              <w:t>Vốn điều lệ dự kiến sau phát hành</w:t>
            </w:r>
          </w:p>
        </w:tc>
        <w:tc>
          <w:tcPr>
            <w:tcW w:w="5954" w:type="dxa"/>
          </w:tcPr>
          <w:p w:rsidR="00DA1563" w:rsidRPr="00D16629" w:rsidRDefault="001113F0" w:rsidP="001113F0">
            <w:pPr>
              <w:pStyle w:val="ListParagraph"/>
              <w:spacing w:line="360" w:lineRule="auto"/>
              <w:ind w:left="0"/>
              <w:contextualSpacing w:val="0"/>
              <w:rPr>
                <w:b/>
                <w:lang w:val="vi-VN"/>
              </w:rPr>
            </w:pPr>
            <w:r>
              <w:t>60.000.000</w:t>
            </w:r>
            <w:r w:rsidR="00DA1563" w:rsidRPr="00D16629">
              <w:t xml:space="preserve">.000 đồng (Bằng chữ: </w:t>
            </w:r>
            <w:r>
              <w:t>Sáu mươi</w:t>
            </w:r>
            <w:r w:rsidR="00DA1563" w:rsidRPr="00D16629">
              <w:t xml:space="preserve"> tỷ đồng</w:t>
            </w:r>
            <w:r>
              <w:t>)</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Chuyển nhượng quyền mua</w:t>
            </w:r>
          </w:p>
        </w:tc>
        <w:tc>
          <w:tcPr>
            <w:tcW w:w="5954" w:type="dxa"/>
          </w:tcPr>
          <w:p w:rsidR="00DA1563" w:rsidRPr="00D16629" w:rsidRDefault="00DA1563" w:rsidP="00D16629">
            <w:pPr>
              <w:spacing w:line="360" w:lineRule="auto"/>
              <w:rPr>
                <w:rFonts w:ascii="Times New Roman" w:hAnsi="Times New Roman" w:cs="Times New Roman"/>
                <w:sz w:val="24"/>
                <w:szCs w:val="24"/>
              </w:rPr>
            </w:pPr>
            <w:r w:rsidRPr="00D16629">
              <w:rPr>
                <w:rFonts w:ascii="Times New Roman" w:hAnsi="Times New Roman" w:cs="Times New Roman"/>
                <w:sz w:val="24"/>
                <w:szCs w:val="24"/>
              </w:rPr>
              <w:t xml:space="preserve">Cổ đông hiện hữu được chuyển nhượng quyền mua 1 lần duy nhất cho các đối tượng khác trong thời gian đăng ký mua cổ phiếu đến 5 ngày làm việc trước ngày hết hạn đăng ký. </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lang w:val="vi-VN"/>
              </w:rPr>
            </w:pPr>
            <w:r w:rsidRPr="00D16629">
              <w:rPr>
                <w:b/>
              </w:rPr>
              <w:t>Giá phát hành</w:t>
            </w:r>
          </w:p>
        </w:tc>
        <w:tc>
          <w:tcPr>
            <w:tcW w:w="5954" w:type="dxa"/>
          </w:tcPr>
          <w:p w:rsidR="00DA1563" w:rsidRPr="00D16629" w:rsidRDefault="00DA1563" w:rsidP="00D16629">
            <w:pPr>
              <w:pStyle w:val="ListParagraph"/>
              <w:spacing w:line="360" w:lineRule="auto"/>
              <w:ind w:left="0"/>
              <w:contextualSpacing w:val="0"/>
            </w:pPr>
            <w:r w:rsidRPr="00D16629">
              <w:t>Đại Hội Đồng Cổ Đông ủy quyền cho Hội Đồng Quản Trị quyết định giá phát hành phù hợp tại thời điểm phát hành nhưng</w:t>
            </w:r>
            <w:r w:rsidR="001113F0">
              <w:t xml:space="preserve"> </w:t>
            </w:r>
            <w:r w:rsidRPr="00D16629">
              <w:t xml:space="preserve">trong mọi trường hợp, giá phát hành không được thấp hơn mệnh giá của cổ phiếu (10.000đồng).  </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Nguyên tắc xác định giá phát hành</w:t>
            </w:r>
          </w:p>
        </w:tc>
        <w:tc>
          <w:tcPr>
            <w:tcW w:w="5954" w:type="dxa"/>
            <w:vAlign w:val="center"/>
          </w:tcPr>
          <w:p w:rsidR="00DA1563" w:rsidRPr="00D16629" w:rsidRDefault="00DA1563" w:rsidP="007D424D">
            <w:pPr>
              <w:pStyle w:val="ListParagraph"/>
              <w:spacing w:line="360" w:lineRule="auto"/>
              <w:ind w:left="0"/>
              <w:contextualSpacing w:val="0"/>
            </w:pPr>
            <w:r w:rsidRPr="00D16629">
              <w:t>Bằng mệnh giá 10.000 đ/cổ phiểu</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lang w:val="vi-VN"/>
              </w:rPr>
            </w:pPr>
            <w:r w:rsidRPr="00D16629">
              <w:rPr>
                <w:b/>
              </w:rPr>
              <w:lastRenderedPageBreak/>
              <w:t>Thời gian chào bán dự kiến</w:t>
            </w:r>
          </w:p>
        </w:tc>
        <w:tc>
          <w:tcPr>
            <w:tcW w:w="5954" w:type="dxa"/>
            <w:vAlign w:val="center"/>
          </w:tcPr>
          <w:p w:rsidR="00DA1563" w:rsidRPr="00D16629" w:rsidRDefault="00DA1563" w:rsidP="007D424D">
            <w:pPr>
              <w:pStyle w:val="ListParagraph"/>
              <w:spacing w:line="360" w:lineRule="auto"/>
              <w:ind w:left="0"/>
              <w:contextualSpacing w:val="0"/>
              <w:rPr>
                <w:lang w:val="vi-VN"/>
              </w:rPr>
            </w:pPr>
            <w:r w:rsidRPr="00D16629">
              <w:t>Thời hạn đăng ký: từ ngày 9-27/4/2018</w:t>
            </w:r>
          </w:p>
        </w:tc>
      </w:tr>
      <w:tr w:rsidR="00DA1563" w:rsidRPr="00D16629" w:rsidTr="00CA1534">
        <w:trPr>
          <w:trHeight w:val="448"/>
        </w:trPr>
        <w:tc>
          <w:tcPr>
            <w:tcW w:w="4219" w:type="dxa"/>
            <w:vAlign w:val="center"/>
          </w:tcPr>
          <w:p w:rsidR="00DA1563" w:rsidRPr="00D16629" w:rsidRDefault="00184895" w:rsidP="00184895">
            <w:pPr>
              <w:pStyle w:val="ListParagraph"/>
              <w:numPr>
                <w:ilvl w:val="0"/>
                <w:numId w:val="2"/>
              </w:numPr>
              <w:spacing w:line="360" w:lineRule="auto"/>
              <w:ind w:left="342" w:hanging="342"/>
              <w:contextualSpacing w:val="0"/>
              <w:rPr>
                <w:b/>
                <w:lang w:val="vi-VN"/>
              </w:rPr>
            </w:pPr>
            <w:r>
              <w:rPr>
                <w:b/>
              </w:rPr>
              <w:t>P</w:t>
            </w:r>
            <w:r w:rsidR="00D16629" w:rsidRPr="00D16629">
              <w:rPr>
                <w:b/>
                <w:lang w:val="vi-VN"/>
              </w:rPr>
              <w:t>hương án xử lý</w:t>
            </w:r>
            <w:r>
              <w:rPr>
                <w:b/>
              </w:rPr>
              <w:t xml:space="preserve"> số</w:t>
            </w:r>
            <w:r w:rsidR="00D16629" w:rsidRPr="00D16629">
              <w:rPr>
                <w:b/>
                <w:lang w:val="vi-VN"/>
              </w:rPr>
              <w:t xml:space="preserve"> cổ phiếu từ chối mua</w:t>
            </w:r>
          </w:p>
        </w:tc>
        <w:tc>
          <w:tcPr>
            <w:tcW w:w="5954" w:type="dxa"/>
          </w:tcPr>
          <w:p w:rsidR="00DA1563" w:rsidRPr="00184895" w:rsidRDefault="00D16629" w:rsidP="00017A9D">
            <w:pPr>
              <w:spacing w:line="360" w:lineRule="auto"/>
              <w:rPr>
                <w:rFonts w:ascii="Times New Roman" w:hAnsi="Times New Roman" w:cs="Times New Roman"/>
                <w:sz w:val="24"/>
                <w:szCs w:val="24"/>
              </w:rPr>
            </w:pPr>
            <w:r w:rsidRPr="00D16629">
              <w:rPr>
                <w:rFonts w:ascii="Times New Roman" w:hAnsi="Times New Roman" w:cs="Times New Roman"/>
                <w:sz w:val="24"/>
                <w:szCs w:val="24"/>
                <w:lang w:val="vi-VN"/>
              </w:rPr>
              <w:t xml:space="preserve">Đại hội đồng cổ đông ủy quyền cho Hội đồng quản trị (HĐQT) phân phối số lượng cổ phiếu do cổ đông hiện hữu không đăng ký mua hết cho các đối tượng khác do HĐQT lựa chọn theo giá không thấp hơn giá chào bán cho cổ đông hiện hữu. </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Mục đích sử dụng vốn</w:t>
            </w:r>
          </w:p>
        </w:tc>
        <w:tc>
          <w:tcPr>
            <w:tcW w:w="5954" w:type="dxa"/>
          </w:tcPr>
          <w:p w:rsidR="00DA1563" w:rsidRPr="00D16629" w:rsidRDefault="00DA1563" w:rsidP="00D16629">
            <w:pPr>
              <w:pStyle w:val="ListParagraph"/>
              <w:spacing w:line="360" w:lineRule="auto"/>
              <w:ind w:left="0"/>
              <w:contextualSpacing w:val="0"/>
            </w:pPr>
            <w:r w:rsidRPr="00D16629">
              <w:t>Bổ sung vốn lưu động cho Công ty và phát triển dịch vụ học tiếng Anh trực tuyến</w:t>
            </w:r>
            <w:r w:rsidR="00017A9D">
              <w:t>.</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contextualSpacing w:val="0"/>
              <w:rPr>
                <w:b/>
              </w:rPr>
            </w:pPr>
            <w:r w:rsidRPr="00D16629">
              <w:rPr>
                <w:b/>
              </w:rPr>
              <w:t>Phương án xử lý trong trường hợp cổ phần không bán hết theo dự kiến</w:t>
            </w:r>
          </w:p>
        </w:tc>
        <w:tc>
          <w:tcPr>
            <w:tcW w:w="5954" w:type="dxa"/>
            <w:vAlign w:val="center"/>
          </w:tcPr>
          <w:p w:rsidR="00DA1563" w:rsidRPr="00D16629" w:rsidRDefault="00DA1563" w:rsidP="007D424D">
            <w:pPr>
              <w:pStyle w:val="ListParagraph"/>
              <w:spacing w:line="360" w:lineRule="auto"/>
              <w:ind w:left="0"/>
              <w:contextualSpacing w:val="0"/>
            </w:pPr>
            <w:r w:rsidRPr="00D16629">
              <w:t xml:space="preserve">Trong trường hợp cổ phiếu không phân phối hết theo dự kiến, </w:t>
            </w:r>
            <w:r w:rsidR="00017A9D" w:rsidRPr="00D16629">
              <w:rPr>
                <w:lang w:val="vi-VN"/>
              </w:rPr>
              <w:t xml:space="preserve">Đại hội đồng cổ đông </w:t>
            </w:r>
            <w:r w:rsidRPr="00D16629">
              <w:t>ủy quyền cho Hội đồng quản trị phân phối và quyết định.</w:t>
            </w:r>
          </w:p>
        </w:tc>
      </w:tr>
      <w:tr w:rsidR="00DA1563" w:rsidRPr="00D16629" w:rsidTr="00CA1534">
        <w:trPr>
          <w:trHeight w:val="448"/>
        </w:trPr>
        <w:tc>
          <w:tcPr>
            <w:tcW w:w="4219" w:type="dxa"/>
            <w:vAlign w:val="center"/>
          </w:tcPr>
          <w:p w:rsidR="00DA1563" w:rsidRPr="00D16629" w:rsidRDefault="00DA1563" w:rsidP="00D16629">
            <w:pPr>
              <w:pStyle w:val="ListParagraph"/>
              <w:numPr>
                <w:ilvl w:val="0"/>
                <w:numId w:val="2"/>
              </w:numPr>
              <w:spacing w:line="360" w:lineRule="auto"/>
              <w:ind w:left="342" w:hanging="342"/>
              <w:rPr>
                <w:b/>
              </w:rPr>
            </w:pPr>
            <w:r w:rsidRPr="00D16629">
              <w:rPr>
                <w:b/>
              </w:rPr>
              <w:t>Ủy quyền cho Hội đồng quản trị thực hiện các công việc liên quan đến đợt phát hành như sau</w:t>
            </w:r>
          </w:p>
          <w:p w:rsidR="00DA1563" w:rsidRPr="00D16629" w:rsidRDefault="00DA1563" w:rsidP="00D16629">
            <w:pPr>
              <w:pStyle w:val="ListParagraph"/>
              <w:spacing w:line="360" w:lineRule="auto"/>
              <w:ind w:left="342"/>
            </w:pPr>
          </w:p>
        </w:tc>
        <w:tc>
          <w:tcPr>
            <w:tcW w:w="5954" w:type="dxa"/>
          </w:tcPr>
          <w:p w:rsidR="00DA1563" w:rsidRPr="00D16629" w:rsidRDefault="00DA1563" w:rsidP="00D16629">
            <w:pPr>
              <w:pStyle w:val="ListParagraph"/>
              <w:widowControl w:val="0"/>
              <w:numPr>
                <w:ilvl w:val="0"/>
                <w:numId w:val="4"/>
              </w:numPr>
              <w:spacing w:line="360" w:lineRule="auto"/>
              <w:ind w:left="342" w:hanging="342"/>
              <w:contextualSpacing w:val="0"/>
              <w:rPr>
                <w:lang w:val="sv-SE"/>
              </w:rPr>
            </w:pPr>
            <w:r w:rsidRPr="00D16629">
              <w:rPr>
                <w:lang w:val="sv-SE"/>
              </w:rPr>
              <w:t>Xây dựng phương án phát hành chi tiết, xác định nguyên tắc giá phát hành,</w:t>
            </w:r>
            <w:r w:rsidR="00017A9D">
              <w:rPr>
                <w:lang w:val="sv-SE"/>
              </w:rPr>
              <w:t xml:space="preserve"> </w:t>
            </w:r>
            <w:r w:rsidRPr="00D16629">
              <w:rPr>
                <w:lang w:val="sv-SE"/>
              </w:rPr>
              <w:t>giá phát hành và thời điểm phát hành cụ thể;</w:t>
            </w:r>
          </w:p>
          <w:p w:rsidR="00DA1563" w:rsidRPr="00D16629" w:rsidRDefault="00DA1563" w:rsidP="00D16629">
            <w:pPr>
              <w:pStyle w:val="ListParagraph"/>
              <w:widowControl w:val="0"/>
              <w:numPr>
                <w:ilvl w:val="0"/>
                <w:numId w:val="4"/>
              </w:numPr>
              <w:spacing w:line="360" w:lineRule="auto"/>
              <w:ind w:left="342" w:hanging="342"/>
              <w:contextualSpacing w:val="0"/>
              <w:rPr>
                <w:lang w:val="sv-SE"/>
              </w:rPr>
            </w:pPr>
            <w:r w:rsidRPr="00D16629">
              <w:rPr>
                <w:lang w:val="sv-SE"/>
              </w:rPr>
              <w:t>Thực hiện các thủ tục chốt danh sách cổ đông cho việc phát hành, lên phương án xử lý cổ phiếu từ chối mua (nếu có);</w:t>
            </w:r>
          </w:p>
          <w:p w:rsidR="00017A9D" w:rsidRPr="00235B05" w:rsidRDefault="00017A9D" w:rsidP="00017A9D">
            <w:pPr>
              <w:pStyle w:val="ListParagraph"/>
              <w:widowControl w:val="0"/>
              <w:numPr>
                <w:ilvl w:val="0"/>
                <w:numId w:val="4"/>
              </w:numPr>
              <w:spacing w:line="360" w:lineRule="auto"/>
              <w:ind w:left="342" w:hanging="342"/>
              <w:contextualSpacing w:val="0"/>
              <w:jc w:val="both"/>
              <w:rPr>
                <w:lang w:val="sv-SE"/>
              </w:rPr>
            </w:pPr>
            <w:r w:rsidRPr="00053BA0">
              <w:rPr>
                <w:lang w:val="sv-SE"/>
              </w:rPr>
              <w:t>Thực hiện, phê duyệt các hồ sơ cần thiết để hoàn tất các thủ tục liên quan đến đợt phát hành, thay đổi mức vốn điều lệ trong Điều lệ Công ty, thay đổi đăng ký kinh doanh, hoàn tất các thủ tục cần thiết để tăng vốn điều lệ tương ứng với kết quả phát hành cuối cùng;</w:t>
            </w:r>
          </w:p>
          <w:p w:rsidR="00017A9D" w:rsidRPr="00235B05" w:rsidRDefault="00017A9D" w:rsidP="00017A9D">
            <w:pPr>
              <w:pStyle w:val="ListParagraph"/>
              <w:widowControl w:val="0"/>
              <w:numPr>
                <w:ilvl w:val="0"/>
                <w:numId w:val="4"/>
              </w:numPr>
              <w:spacing w:line="360" w:lineRule="auto"/>
              <w:ind w:left="342" w:hanging="342"/>
              <w:contextualSpacing w:val="0"/>
              <w:jc w:val="both"/>
              <w:rPr>
                <w:lang w:val="sv-SE"/>
              </w:rPr>
            </w:pPr>
            <w:r w:rsidRPr="00053BA0">
              <w:rPr>
                <w:lang w:val="sv-SE"/>
              </w:rPr>
              <w:t>Cân đối để phân bổ và sử dụng số tiền thu được từ đợt phát hành vào các mục đích nêu trên một cách hợp lý, đảm bảo hiệu quả và lợi ích cho Công ty và cho các cổ đông;</w:t>
            </w:r>
          </w:p>
          <w:p w:rsidR="00DA1563" w:rsidRPr="00D16629" w:rsidRDefault="002C50CF" w:rsidP="00D16629">
            <w:pPr>
              <w:pStyle w:val="ListParagraph"/>
              <w:widowControl w:val="0"/>
              <w:numPr>
                <w:ilvl w:val="0"/>
                <w:numId w:val="4"/>
              </w:numPr>
              <w:spacing w:line="360" w:lineRule="auto"/>
              <w:ind w:left="342" w:hanging="342"/>
              <w:contextualSpacing w:val="0"/>
              <w:rPr>
                <w:lang w:val="sv-SE"/>
              </w:rPr>
            </w:pPr>
            <w:r w:rsidRPr="00053BA0">
              <w:rPr>
                <w:lang w:val="sv-SE"/>
              </w:rPr>
              <w:t>Bổ sung, chỉnh sửa, hoàn chỉnh hoặc thay đổi phương án phát hành theo yêu cầu của các cơ quan quản lý Nhà nước sao cho việc huy động vốn của Công ty được thực hiện một cách hợp pháp và đúng quy định.</w:t>
            </w:r>
          </w:p>
        </w:tc>
      </w:tr>
    </w:tbl>
    <w:p w:rsidR="00C2502E" w:rsidRPr="00C2502E" w:rsidRDefault="00C2502E" w:rsidP="001F5154">
      <w:pPr>
        <w:jc w:val="both"/>
        <w:rPr>
          <w:rFonts w:ascii="Times New Roman" w:hAnsi="Times New Roman" w:cs="Times New Roman"/>
          <w:sz w:val="26"/>
          <w:szCs w:val="28"/>
        </w:rPr>
      </w:pPr>
    </w:p>
    <w:sectPr w:rsidR="00C2502E" w:rsidRPr="00C2502E" w:rsidSect="00030105">
      <w:headerReference w:type="default" r:id="rId7"/>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E8" w:rsidRDefault="00BF0FE8" w:rsidP="00FA3818">
      <w:pPr>
        <w:spacing w:after="0" w:line="240" w:lineRule="auto"/>
      </w:pPr>
      <w:r>
        <w:separator/>
      </w:r>
    </w:p>
  </w:endnote>
  <w:endnote w:type="continuationSeparator" w:id="1">
    <w:p w:rsidR="00BF0FE8" w:rsidRDefault="00BF0FE8" w:rsidP="00FA3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E8" w:rsidRDefault="00BF0FE8" w:rsidP="00FA3818">
      <w:pPr>
        <w:spacing w:after="0" w:line="240" w:lineRule="auto"/>
      </w:pPr>
      <w:r>
        <w:separator/>
      </w:r>
    </w:p>
  </w:footnote>
  <w:footnote w:type="continuationSeparator" w:id="1">
    <w:p w:rsidR="00BF0FE8" w:rsidRDefault="00BF0FE8" w:rsidP="00FA3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18" w:rsidRPr="00FA3818" w:rsidRDefault="00FA3818" w:rsidP="00FA3818">
    <w:pPr>
      <w:pStyle w:val="Header"/>
      <w:pBdr>
        <w:bottom w:val="thickThinSmallGap" w:sz="24" w:space="1" w:color="622423" w:themeColor="accent2" w:themeShade="7F"/>
      </w:pBdr>
      <w:jc w:val="center"/>
      <w:rPr>
        <w:rFonts w:ascii="Times New Roman" w:hAnsi="Times New Roman" w:cs="Times New Roman"/>
        <w:b/>
        <w:sz w:val="28"/>
        <w:szCs w:val="28"/>
      </w:rPr>
    </w:pPr>
    <w:r>
      <w:rPr>
        <w:rFonts w:asciiTheme="majorHAnsi" w:eastAsiaTheme="majorEastAsia" w:hAnsiTheme="majorHAnsi" w:cstheme="majorBidi"/>
        <w:sz w:val="32"/>
        <w:szCs w:val="32"/>
      </w:rPr>
      <w:t>CÔNG TY CỔ PHẦN SOFTECH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EDA"/>
    <w:multiLevelType w:val="hybridMultilevel"/>
    <w:tmpl w:val="EDA45A78"/>
    <w:lvl w:ilvl="0" w:tplc="04090005">
      <w:start w:val="1"/>
      <w:numFmt w:val="bullet"/>
      <w:lvlText w:val=""/>
      <w:lvlJc w:val="left"/>
      <w:pPr>
        <w:ind w:left="720" w:hanging="360"/>
      </w:pPr>
      <w:rPr>
        <w:rFonts w:ascii="Wingdings" w:hAnsi="Wingdings" w:hint="default"/>
      </w:rPr>
    </w:lvl>
    <w:lvl w:ilvl="1" w:tplc="151E5FC0">
      <w:start w:val="1"/>
      <w:numFmt w:val="bullet"/>
      <w:lvlText w:val="-"/>
      <w:lvlJc w:val="left"/>
      <w:pPr>
        <w:ind w:left="1440" w:hanging="360"/>
      </w:pPr>
      <w:rPr>
        <w:rFonts w:ascii="Vrinda" w:hAnsi="Vrind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84425"/>
    <w:multiLevelType w:val="hybridMultilevel"/>
    <w:tmpl w:val="55AE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5799"/>
    <w:multiLevelType w:val="hybridMultilevel"/>
    <w:tmpl w:val="B2F639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FBA582A"/>
    <w:multiLevelType w:val="hybridMultilevel"/>
    <w:tmpl w:val="768AF1A4"/>
    <w:lvl w:ilvl="0" w:tplc="CF9C2A34">
      <w:start w:val="1"/>
      <w:numFmt w:val="upperRoman"/>
      <w:lvlText w:val="%1."/>
      <w:lvlJc w:val="left"/>
      <w:pPr>
        <w:ind w:left="35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2502E"/>
    <w:rsid w:val="00017A9D"/>
    <w:rsid w:val="00030105"/>
    <w:rsid w:val="001113F0"/>
    <w:rsid w:val="00184895"/>
    <w:rsid w:val="00192049"/>
    <w:rsid w:val="001F5154"/>
    <w:rsid w:val="002C50CF"/>
    <w:rsid w:val="004604E0"/>
    <w:rsid w:val="004C3DD4"/>
    <w:rsid w:val="00585B6E"/>
    <w:rsid w:val="0066721B"/>
    <w:rsid w:val="007D424D"/>
    <w:rsid w:val="008369C7"/>
    <w:rsid w:val="00955A45"/>
    <w:rsid w:val="00A777C3"/>
    <w:rsid w:val="00A810B0"/>
    <w:rsid w:val="00B103CB"/>
    <w:rsid w:val="00BF0FE8"/>
    <w:rsid w:val="00C2502E"/>
    <w:rsid w:val="00CA1534"/>
    <w:rsid w:val="00CA2923"/>
    <w:rsid w:val="00D16629"/>
    <w:rsid w:val="00DA1563"/>
    <w:rsid w:val="00DA18A8"/>
    <w:rsid w:val="00E45E2A"/>
    <w:rsid w:val="00E94B3B"/>
    <w:rsid w:val="00FA3818"/>
    <w:rsid w:val="00FC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18"/>
  </w:style>
  <w:style w:type="paragraph" w:styleId="Footer">
    <w:name w:val="footer"/>
    <w:basedOn w:val="Normal"/>
    <w:link w:val="FooterChar"/>
    <w:uiPriority w:val="99"/>
    <w:semiHidden/>
    <w:unhideWhenUsed/>
    <w:rsid w:val="00FA3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818"/>
  </w:style>
  <w:style w:type="paragraph" w:styleId="BalloonText">
    <w:name w:val="Balloon Text"/>
    <w:basedOn w:val="Normal"/>
    <w:link w:val="BalloonTextChar"/>
    <w:uiPriority w:val="99"/>
    <w:semiHidden/>
    <w:unhideWhenUsed/>
    <w:rsid w:val="00FA3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18"/>
    <w:rPr>
      <w:rFonts w:ascii="Tahoma" w:hAnsi="Tahoma" w:cs="Tahoma"/>
      <w:sz w:val="16"/>
      <w:szCs w:val="16"/>
    </w:rPr>
  </w:style>
  <w:style w:type="paragraph" w:styleId="ListParagraph">
    <w:name w:val="List Paragraph"/>
    <w:basedOn w:val="Normal"/>
    <w:link w:val="ListParagraphChar"/>
    <w:uiPriority w:val="34"/>
    <w:qFormat/>
    <w:rsid w:val="0019204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92049"/>
    <w:rPr>
      <w:rFonts w:ascii="Times New Roman" w:eastAsia="Times New Roman" w:hAnsi="Times New Roman" w:cs="Times New Roman"/>
      <w:sz w:val="24"/>
      <w:szCs w:val="24"/>
    </w:rPr>
  </w:style>
  <w:style w:type="table" w:styleId="TableGrid">
    <w:name w:val="Table Grid"/>
    <w:basedOn w:val="TableNormal"/>
    <w:uiPriority w:val="59"/>
    <w:rsid w:val="001F5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nbodonih">
    <w:name w:val="vnbodonih"/>
    <w:basedOn w:val="Normal"/>
    <w:rsid w:val="00DA1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LINHTK</dc:creator>
  <cp:lastModifiedBy>LINHTK</cp:lastModifiedBy>
  <cp:revision>2</cp:revision>
  <cp:lastPrinted>2018-04-04T09:57:00Z</cp:lastPrinted>
  <dcterms:created xsi:type="dcterms:W3CDTF">2018-04-04T10:03:00Z</dcterms:created>
  <dcterms:modified xsi:type="dcterms:W3CDTF">2018-04-04T10:03:00Z</dcterms:modified>
</cp:coreProperties>
</file>